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142B0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0</w:t>
            </w:r>
            <w:r w:rsidR="003E3852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5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3E3852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Václavice</w:t>
            </w:r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3E3852" w:rsidP="004D54C3">
      <w:pPr>
        <w:jc w:val="center"/>
        <w:rPr>
          <w:b/>
          <w:noProof/>
          <w:sz w:val="32"/>
          <w:szCs w:val="32"/>
        </w:rPr>
      </w:pPr>
      <w:r w:rsidRPr="003E3852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0" t="0" r="9525" b="0"/>
            <wp:docPr id="20" name="Obrázek 20" descr="H:\__PLANOVANI_KONCEPCE\3504_AOP_SAZAVA\PRACOVNI\Janovicky_potok\obrazky_zprava\navrh\titulky_SO\SO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__PLANOVANI_KONCEPCE\3504_AOP_SAZAVA\PRACOVNI\Janovicky_potok\obrazky_zprava\navrh\titulky_SO\SO_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(vlcek</w:t>
      </w:r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9F3580" w:rsidRDefault="009F3580">
      <w:pPr>
        <w:spacing w:after="0" w:line="240" w:lineRule="auto"/>
        <w:jc w:val="left"/>
      </w:pPr>
      <w:r>
        <w:br w:type="page"/>
      </w:r>
    </w:p>
    <w:p w:rsidR="008A604A" w:rsidRDefault="009F3580" w:rsidP="009F3580">
      <w:pPr>
        <w:pStyle w:val="Nadpis2"/>
        <w:numPr>
          <w:ilvl w:val="0"/>
          <w:numId w:val="0"/>
        </w:numPr>
        <w:ind w:left="993"/>
      </w:pPr>
      <w:proofErr w:type="gramStart"/>
      <w:r>
        <w:lastRenderedPageBreak/>
        <w:t>B.2.1.1</w:t>
      </w:r>
      <w:proofErr w:type="gramEnd"/>
      <w:r>
        <w:t xml:space="preserve"> Posouzení efektivity opatření SO05 A</w:t>
      </w:r>
    </w:p>
    <w:p w:rsidR="009F3580" w:rsidRDefault="009F3580" w:rsidP="009F3580">
      <w:r>
        <w:t>Posouzení efektivity suché nádrže je prezentováno sérií grafů, které zobrazují transformaci teoretické povodňové volny navrženou suchou nádrží. Posuzovány jsou průtokové scénáře TPV</w:t>
      </w:r>
      <w:r w:rsidRPr="004152AD">
        <w:rPr>
          <w:vertAlign w:val="subscript"/>
        </w:rPr>
        <w:t>5</w:t>
      </w:r>
      <w:r>
        <w:t>, TPV</w:t>
      </w:r>
      <w:r w:rsidRPr="004152AD">
        <w:rPr>
          <w:vertAlign w:val="subscript"/>
        </w:rPr>
        <w:t>10</w:t>
      </w:r>
      <w:r>
        <w:t>, TPV</w:t>
      </w:r>
      <w:r w:rsidRPr="004152AD">
        <w:rPr>
          <w:vertAlign w:val="subscript"/>
        </w:rPr>
        <w:t>20</w:t>
      </w:r>
      <w:r>
        <w:t xml:space="preserve"> a TPV</w:t>
      </w:r>
      <w:r w:rsidRPr="004152AD">
        <w:rPr>
          <w:vertAlign w:val="subscript"/>
        </w:rPr>
        <w:t>100</w:t>
      </w:r>
      <w:r>
        <w:t>. Každý průtokový scénář je prezentován dvěma grafy, kdy první představuje transformaci kulminačního průtoku, druhý graf představuje průběh hladin, tedy jak je využita kapacita nádrže a není-li překročena mezní bezpečná hladina.</w:t>
      </w:r>
    </w:p>
    <w:p w:rsidR="009F3580" w:rsidRDefault="009F3580" w:rsidP="009F3580">
      <w:r>
        <w:t>Z posouzení vyplývá, že dostupný profil neposkytuje dostatečný retenční objem pro efektivní transformaci teoretické povodňové vlny na úroveň neškodného průtoku 17 m</w:t>
      </w:r>
      <w:r w:rsidRPr="009F3580">
        <w:rPr>
          <w:vertAlign w:val="superscript"/>
        </w:rPr>
        <w:t>3</w:t>
      </w:r>
      <w:r>
        <w:t xml:space="preserve">/s a to i při nižších N </w:t>
      </w:r>
      <w:proofErr w:type="spellStart"/>
      <w:r>
        <w:t>letostech</w:t>
      </w:r>
      <w:proofErr w:type="spellEnd"/>
      <w:r>
        <w:t>. Návrh byl koncipován tak aby transformace bylo dosaženo alespoň při Q</w:t>
      </w:r>
      <w:r w:rsidRPr="009F3580">
        <w:rPr>
          <w:vertAlign w:val="subscript"/>
        </w:rPr>
        <w:t>10</w:t>
      </w:r>
      <w:r>
        <w:t>. Nádrž v tomto případě nevyhovuje.</w:t>
      </w:r>
    </w:p>
    <w:p w:rsidR="009F3580" w:rsidRDefault="009F3580">
      <w:pPr>
        <w:spacing w:after="0" w:line="240" w:lineRule="auto"/>
        <w:jc w:val="left"/>
      </w:pPr>
      <w: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1"/>
      </w:tblGrid>
      <w:tr w:rsidR="009F3580" w:rsidTr="009F3580">
        <w:tc>
          <w:tcPr>
            <w:tcW w:w="9211" w:type="dxa"/>
          </w:tcPr>
          <w:p w:rsidR="009F3580" w:rsidRDefault="009F3580" w:rsidP="009F3580">
            <w:r>
              <w:rPr>
                <w:noProof/>
              </w:rPr>
              <w:lastRenderedPageBreak/>
              <w:drawing>
                <wp:inline distT="0" distB="0" distL="0" distR="0" wp14:anchorId="781738DA">
                  <wp:extent cx="4579620" cy="2750820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3580" w:rsidTr="009F3580">
        <w:tc>
          <w:tcPr>
            <w:tcW w:w="9211" w:type="dxa"/>
          </w:tcPr>
          <w:p w:rsidR="009F3580" w:rsidRDefault="009F3580" w:rsidP="009F3580">
            <w:r>
              <w:rPr>
                <w:noProof/>
              </w:rPr>
              <w:drawing>
                <wp:inline distT="0" distB="0" distL="0" distR="0" wp14:anchorId="486CD6FB">
                  <wp:extent cx="4579620" cy="2750820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3580" w:rsidTr="009F3580">
        <w:tc>
          <w:tcPr>
            <w:tcW w:w="9211" w:type="dxa"/>
          </w:tcPr>
          <w:p w:rsidR="009F3580" w:rsidRDefault="009F3580" w:rsidP="009F3580">
            <w:r>
              <w:rPr>
                <w:noProof/>
              </w:rPr>
              <w:drawing>
                <wp:inline distT="0" distB="0" distL="0" distR="0" wp14:anchorId="0B6CE042">
                  <wp:extent cx="4579620" cy="275082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3580" w:rsidTr="009F3580">
        <w:tc>
          <w:tcPr>
            <w:tcW w:w="9211" w:type="dxa"/>
          </w:tcPr>
          <w:p w:rsidR="009F3580" w:rsidRDefault="009F3580" w:rsidP="009F3580">
            <w:r>
              <w:rPr>
                <w:noProof/>
              </w:rPr>
              <w:lastRenderedPageBreak/>
              <w:drawing>
                <wp:inline distT="0" distB="0" distL="0" distR="0" wp14:anchorId="67C96A17">
                  <wp:extent cx="4579620" cy="2750820"/>
                  <wp:effectExtent l="0" t="0" r="0" b="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3580" w:rsidTr="009F3580">
        <w:tc>
          <w:tcPr>
            <w:tcW w:w="9211" w:type="dxa"/>
          </w:tcPr>
          <w:p w:rsidR="009F3580" w:rsidRDefault="009F3580" w:rsidP="009F3580">
            <w:r>
              <w:rPr>
                <w:noProof/>
              </w:rPr>
              <w:drawing>
                <wp:inline distT="0" distB="0" distL="0" distR="0" wp14:anchorId="2DED0512">
                  <wp:extent cx="4579620" cy="2750820"/>
                  <wp:effectExtent l="0" t="0" r="0" b="0"/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3580" w:rsidTr="009F3580">
        <w:tc>
          <w:tcPr>
            <w:tcW w:w="9211" w:type="dxa"/>
          </w:tcPr>
          <w:p w:rsidR="009F3580" w:rsidRDefault="009F3580" w:rsidP="009F3580">
            <w:r>
              <w:rPr>
                <w:noProof/>
              </w:rPr>
              <w:drawing>
                <wp:inline distT="0" distB="0" distL="0" distR="0" wp14:anchorId="5E5EF427">
                  <wp:extent cx="4579620" cy="2750820"/>
                  <wp:effectExtent l="0" t="0" r="0" b="0"/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3580" w:rsidTr="009F3580">
        <w:tc>
          <w:tcPr>
            <w:tcW w:w="9211" w:type="dxa"/>
          </w:tcPr>
          <w:p w:rsidR="009F3580" w:rsidRDefault="009F3580" w:rsidP="009F3580">
            <w:r>
              <w:rPr>
                <w:noProof/>
              </w:rPr>
              <w:lastRenderedPageBreak/>
              <w:drawing>
                <wp:inline distT="0" distB="0" distL="0" distR="0" wp14:anchorId="55300BC5">
                  <wp:extent cx="4579620" cy="2750820"/>
                  <wp:effectExtent l="0" t="0" r="0" b="0"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3580" w:rsidTr="009F3580">
        <w:tc>
          <w:tcPr>
            <w:tcW w:w="9211" w:type="dxa"/>
          </w:tcPr>
          <w:p w:rsidR="009F3580" w:rsidRDefault="009F3580" w:rsidP="009F3580">
            <w:r>
              <w:rPr>
                <w:noProof/>
              </w:rPr>
              <w:drawing>
                <wp:inline distT="0" distB="0" distL="0" distR="0" wp14:anchorId="499F77E8">
                  <wp:extent cx="4579620" cy="2743200"/>
                  <wp:effectExtent l="0" t="0" r="0" b="0"/>
                  <wp:docPr id="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4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3580" w:rsidRDefault="009F3580" w:rsidP="009F3580"/>
    <w:p w:rsidR="009F3580" w:rsidRDefault="009F3580">
      <w:pPr>
        <w:spacing w:after="0" w:line="240" w:lineRule="auto"/>
        <w:jc w:val="left"/>
      </w:pPr>
      <w:r>
        <w:br w:type="page"/>
      </w:r>
    </w:p>
    <w:p w:rsidR="009F3580" w:rsidRDefault="009F3580" w:rsidP="009F3580">
      <w:pPr>
        <w:pStyle w:val="Nadpis2"/>
        <w:numPr>
          <w:ilvl w:val="0"/>
          <w:numId w:val="0"/>
        </w:numPr>
        <w:ind w:left="993"/>
      </w:pPr>
      <w:proofErr w:type="gramStart"/>
      <w:r>
        <w:t>B.2.1.2</w:t>
      </w:r>
      <w:proofErr w:type="gramEnd"/>
      <w:r>
        <w:t xml:space="preserve"> Posouzení efektivity opatření SO05 B</w:t>
      </w:r>
      <w:r w:rsidR="00FF45FE">
        <w:t>,c,e</w:t>
      </w:r>
    </w:p>
    <w:p w:rsidR="009F3580" w:rsidRDefault="00CB745C" w:rsidP="009F3580">
      <w:r>
        <w:t>Efektivita opatření je posuzována úrovní hladin za stávajícího stavu a po realizaci opatření.</w:t>
      </w:r>
    </w:p>
    <w:p w:rsidR="00FF45FE" w:rsidRDefault="00FF45FE" w:rsidP="00FF45FE">
      <w:r>
        <w:t>Jsou uvedeny hladiny pro variantní řešení, které předpokládá buďto zkapacitnění koryta a ochranu ČS (SO05b, SO05c), nebo zkapacitnění koryta, ochranu ČS a vybudování inundačního kanálu (SO05b, SO05c, SO05e).</w:t>
      </w:r>
      <w:bookmarkStart w:id="9" w:name="_GoBack"/>
      <w:bookmarkEnd w:id="9"/>
    </w:p>
    <w:p w:rsidR="00FF45FE" w:rsidRDefault="00FF45FE" w:rsidP="00FF45FE">
      <w:r>
        <w:t xml:space="preserve">Efektivita je prezentována ve třech kontrolních </w:t>
      </w:r>
      <w:proofErr w:type="gramStart"/>
      <w:r>
        <w:t xml:space="preserve">profilech. </w:t>
      </w:r>
      <w:proofErr w:type="gramEnd"/>
      <w:r>
        <w:t xml:space="preserve">Profil 7.086 </w:t>
      </w:r>
      <w:proofErr w:type="gramStart"/>
      <w:r>
        <w:t>ř.km</w:t>
      </w:r>
      <w:proofErr w:type="gramEnd"/>
      <w:r>
        <w:t xml:space="preserve"> je lokalita nad silničním mostem. Referenční výška je úroveň komunikace (285.95 m.n.m.). profil 6.951 </w:t>
      </w:r>
      <w:proofErr w:type="gramStart"/>
      <w:r>
        <w:t>ř.km</w:t>
      </w:r>
      <w:proofErr w:type="gramEnd"/>
      <w:r>
        <w:t xml:space="preserve"> je lokalita krátce pod silničním mostem. Referenční výška je úroveň komunikace v P inundaci (</w:t>
      </w:r>
      <w:r w:rsidR="002651EA">
        <w:t xml:space="preserve">285.4 m.n.m.). profil 6.846 </w:t>
      </w:r>
      <w:proofErr w:type="gramStart"/>
      <w:r w:rsidR="002651EA">
        <w:t>ř.km</w:t>
      </w:r>
      <w:proofErr w:type="gramEnd"/>
      <w:r w:rsidR="002651EA">
        <w:t xml:space="preserve"> je lokalita kolem ČS. Referenční výšku je úroveň komunikace v místě odbočky k ČOV (285.32 m.n.m.)</w:t>
      </w:r>
    </w:p>
    <w:p w:rsidR="00FF45FE" w:rsidRDefault="00FF45FE" w:rsidP="009F3580"/>
    <w:tbl>
      <w:tblPr>
        <w:tblW w:w="822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754"/>
        <w:gridCol w:w="960"/>
        <w:gridCol w:w="960"/>
        <w:gridCol w:w="960"/>
      </w:tblGrid>
      <w:tr w:rsidR="00FF45FE" w:rsidRPr="00FF45FE" w:rsidTr="00FF45FE">
        <w:trPr>
          <w:trHeight w:val="300"/>
        </w:trPr>
        <w:tc>
          <w:tcPr>
            <w:tcW w:w="3240" w:type="dxa"/>
            <w:vMerge w:val="restart"/>
            <w:shd w:val="clear" w:color="auto" w:fill="DBE5F1" w:themeFill="accent1" w:themeFillTint="33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szCs w:val="22"/>
              </w:rPr>
            </w:pPr>
            <w:r>
              <w:rPr>
                <w:szCs w:val="22"/>
              </w:rPr>
              <w:t>Návrh opatření</w:t>
            </w:r>
          </w:p>
        </w:tc>
        <w:tc>
          <w:tcPr>
            <w:tcW w:w="1350" w:type="dxa"/>
            <w:vMerge w:val="restart"/>
            <w:shd w:val="clear" w:color="auto" w:fill="DBE5F1" w:themeFill="accent1" w:themeFillTint="33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rFonts w:hint="cs"/>
                <w:szCs w:val="22"/>
                <w:rtl/>
                <w:lang w:bidi="ar-LB"/>
              </w:rPr>
            </w:pPr>
            <w:r w:rsidRPr="00FF45FE">
              <w:rPr>
                <w:szCs w:val="22"/>
              </w:rPr>
              <w:t>Kontrolní profil</w:t>
            </w:r>
            <w:r>
              <w:rPr>
                <w:szCs w:val="22"/>
              </w:rPr>
              <w:t xml:space="preserve"> </w:t>
            </w:r>
            <w:r w:rsidRPr="00FF45FE">
              <w:rPr>
                <w:szCs w:val="22"/>
              </w:rPr>
              <w:t>[</w:t>
            </w:r>
            <w:proofErr w:type="gramStart"/>
            <w:r w:rsidRPr="00FF45FE">
              <w:rPr>
                <w:szCs w:val="22"/>
              </w:rPr>
              <w:t>ř.km</w:t>
            </w:r>
            <w:proofErr w:type="gramEnd"/>
            <w:r w:rsidRPr="00FF45FE">
              <w:rPr>
                <w:szCs w:val="22"/>
              </w:rPr>
              <w:t>]</w:t>
            </w:r>
          </w:p>
        </w:tc>
        <w:tc>
          <w:tcPr>
            <w:tcW w:w="3634" w:type="dxa"/>
            <w:gridSpan w:val="4"/>
            <w:shd w:val="clear" w:color="auto" w:fill="DBE5F1" w:themeFill="accent1" w:themeFillTint="33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center"/>
              <w:rPr>
                <w:szCs w:val="22"/>
              </w:rPr>
            </w:pPr>
            <w:r w:rsidRPr="00FF45FE">
              <w:rPr>
                <w:color w:val="000000"/>
                <w:szCs w:val="22"/>
              </w:rPr>
              <w:t>hladina [</w:t>
            </w:r>
            <w:proofErr w:type="gramStart"/>
            <w:r w:rsidRPr="00FF45FE">
              <w:rPr>
                <w:color w:val="000000"/>
                <w:szCs w:val="22"/>
              </w:rPr>
              <w:t>m.n.</w:t>
            </w:r>
            <w:proofErr w:type="gramEnd"/>
            <w:r w:rsidRPr="00FF45FE">
              <w:rPr>
                <w:color w:val="000000"/>
                <w:szCs w:val="22"/>
              </w:rPr>
              <w:t>m.]</w:t>
            </w:r>
          </w:p>
        </w:tc>
      </w:tr>
      <w:tr w:rsidR="00FF45FE" w:rsidRPr="00FF45FE" w:rsidTr="00FF45FE">
        <w:trPr>
          <w:trHeight w:val="300"/>
        </w:trPr>
        <w:tc>
          <w:tcPr>
            <w:tcW w:w="3240" w:type="dxa"/>
            <w:vMerge/>
            <w:shd w:val="clear" w:color="auto" w:fill="DBE5F1" w:themeFill="accent1" w:themeFillTint="33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szCs w:val="22"/>
              </w:rPr>
            </w:pPr>
          </w:p>
        </w:tc>
        <w:tc>
          <w:tcPr>
            <w:tcW w:w="1350" w:type="dxa"/>
            <w:vMerge/>
            <w:shd w:val="clear" w:color="auto" w:fill="DBE5F1" w:themeFill="accent1" w:themeFillTint="33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szCs w:val="22"/>
              </w:rPr>
            </w:pPr>
          </w:p>
        </w:tc>
        <w:tc>
          <w:tcPr>
            <w:tcW w:w="754" w:type="dxa"/>
            <w:shd w:val="clear" w:color="auto" w:fill="DBE5F1" w:themeFill="accent1" w:themeFillTint="33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Q5</w:t>
            </w:r>
          </w:p>
        </w:tc>
        <w:tc>
          <w:tcPr>
            <w:tcW w:w="960" w:type="dxa"/>
            <w:shd w:val="clear" w:color="auto" w:fill="DBE5F1" w:themeFill="accent1" w:themeFillTint="33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Q20</w:t>
            </w:r>
          </w:p>
        </w:tc>
        <w:tc>
          <w:tcPr>
            <w:tcW w:w="960" w:type="dxa"/>
            <w:shd w:val="clear" w:color="auto" w:fill="DBE5F1" w:themeFill="accent1" w:themeFillTint="33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Q50</w:t>
            </w:r>
          </w:p>
        </w:tc>
        <w:tc>
          <w:tcPr>
            <w:tcW w:w="960" w:type="dxa"/>
            <w:shd w:val="clear" w:color="auto" w:fill="DBE5F1" w:themeFill="accent1" w:themeFillTint="33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Q100</w:t>
            </w:r>
          </w:p>
        </w:tc>
      </w:tr>
      <w:tr w:rsidR="00FF45FE" w:rsidRPr="00FF45FE" w:rsidTr="00FF45FE">
        <w:trPr>
          <w:trHeight w:val="300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stav</w:t>
            </w:r>
          </w:p>
        </w:tc>
        <w:tc>
          <w:tcPr>
            <w:tcW w:w="1350" w:type="dxa"/>
            <w:vMerge w:val="restart"/>
            <w:shd w:val="clear" w:color="auto" w:fill="DBE5F1" w:themeFill="accent1" w:themeFillTint="33"/>
            <w:noWrap/>
            <w:vAlign w:val="center"/>
            <w:hideMark/>
          </w:tcPr>
          <w:p w:rsidR="00FF45FE" w:rsidRPr="00FF45FE" w:rsidRDefault="00FF45FE" w:rsidP="00FF45FE">
            <w:pPr>
              <w:spacing w:after="0" w:line="240" w:lineRule="auto"/>
              <w:jc w:val="center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7.086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285.69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286.08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286.18</w:t>
            </w:r>
          </w:p>
        </w:tc>
      </w:tr>
      <w:tr w:rsidR="00FF45FE" w:rsidRPr="00FF45FE" w:rsidTr="00FF45FE">
        <w:trPr>
          <w:trHeight w:val="70"/>
        </w:trPr>
        <w:tc>
          <w:tcPr>
            <w:tcW w:w="3240" w:type="dxa"/>
            <w:shd w:val="clear" w:color="auto" w:fill="auto"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realizace opatření SO05b,c</w:t>
            </w:r>
          </w:p>
        </w:tc>
        <w:tc>
          <w:tcPr>
            <w:tcW w:w="1350" w:type="dxa"/>
            <w:vMerge/>
            <w:shd w:val="clear" w:color="auto" w:fill="DBE5F1" w:themeFill="accent1" w:themeFillTint="33"/>
            <w:vAlign w:val="center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285.52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285.88</w:t>
            </w:r>
          </w:p>
        </w:tc>
      </w:tr>
      <w:tr w:rsidR="00FF45FE" w:rsidRPr="00FF45FE" w:rsidTr="00FF45FE">
        <w:trPr>
          <w:trHeight w:val="100"/>
        </w:trPr>
        <w:tc>
          <w:tcPr>
            <w:tcW w:w="3240" w:type="dxa"/>
            <w:shd w:val="clear" w:color="auto" w:fill="auto"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realizace opatření SO05b,c</w:t>
            </w:r>
          </w:p>
        </w:tc>
        <w:tc>
          <w:tcPr>
            <w:tcW w:w="1350" w:type="dxa"/>
            <w:vMerge/>
            <w:shd w:val="clear" w:color="auto" w:fill="DBE5F1" w:themeFill="accent1" w:themeFillTint="33"/>
            <w:vAlign w:val="center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285.56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285.72</w:t>
            </w:r>
          </w:p>
        </w:tc>
      </w:tr>
      <w:tr w:rsidR="00FF45FE" w:rsidRPr="00FF45FE" w:rsidTr="00FF45FE">
        <w:trPr>
          <w:trHeight w:val="300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stav</w:t>
            </w:r>
          </w:p>
        </w:tc>
        <w:tc>
          <w:tcPr>
            <w:tcW w:w="1350" w:type="dxa"/>
            <w:vMerge w:val="restart"/>
            <w:shd w:val="clear" w:color="auto" w:fill="DBE5F1" w:themeFill="accent1" w:themeFillTint="33"/>
            <w:noWrap/>
            <w:vAlign w:val="center"/>
            <w:hideMark/>
          </w:tcPr>
          <w:p w:rsidR="00FF45FE" w:rsidRPr="00FF45FE" w:rsidRDefault="00FF45FE" w:rsidP="00FF45FE">
            <w:pPr>
              <w:spacing w:after="0" w:line="240" w:lineRule="auto"/>
              <w:jc w:val="center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6.951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285.57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285.83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285.95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286.03</w:t>
            </w:r>
          </w:p>
        </w:tc>
      </w:tr>
      <w:tr w:rsidR="00FF45FE" w:rsidRPr="00FF45FE" w:rsidTr="00FF45FE">
        <w:trPr>
          <w:trHeight w:val="190"/>
        </w:trPr>
        <w:tc>
          <w:tcPr>
            <w:tcW w:w="3240" w:type="dxa"/>
            <w:shd w:val="clear" w:color="auto" w:fill="auto"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realizace opatření SO05b,c</w:t>
            </w:r>
          </w:p>
        </w:tc>
        <w:tc>
          <w:tcPr>
            <w:tcW w:w="1350" w:type="dxa"/>
            <w:vMerge/>
            <w:shd w:val="clear" w:color="auto" w:fill="DBE5F1" w:themeFill="accent1" w:themeFillTint="33"/>
            <w:vAlign w:val="center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285.77</w:t>
            </w:r>
          </w:p>
        </w:tc>
      </w:tr>
      <w:tr w:rsidR="00FF45FE" w:rsidRPr="00FF45FE" w:rsidTr="00FF45FE">
        <w:trPr>
          <w:trHeight w:val="70"/>
        </w:trPr>
        <w:tc>
          <w:tcPr>
            <w:tcW w:w="3240" w:type="dxa"/>
            <w:shd w:val="clear" w:color="auto" w:fill="auto"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realizace opatření SO05b,c</w:t>
            </w:r>
          </w:p>
        </w:tc>
        <w:tc>
          <w:tcPr>
            <w:tcW w:w="1350" w:type="dxa"/>
            <w:vMerge/>
            <w:shd w:val="clear" w:color="auto" w:fill="DBE5F1" w:themeFill="accent1" w:themeFillTint="33"/>
            <w:vAlign w:val="center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285.59</w:t>
            </w:r>
          </w:p>
        </w:tc>
      </w:tr>
      <w:tr w:rsidR="00FF45FE" w:rsidRPr="00FF45FE" w:rsidTr="00FF45FE">
        <w:trPr>
          <w:trHeight w:val="300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stav</w:t>
            </w:r>
          </w:p>
        </w:tc>
        <w:tc>
          <w:tcPr>
            <w:tcW w:w="1350" w:type="dxa"/>
            <w:vMerge w:val="restart"/>
            <w:shd w:val="clear" w:color="auto" w:fill="DBE5F1" w:themeFill="accent1" w:themeFillTint="33"/>
            <w:noWrap/>
            <w:vAlign w:val="center"/>
            <w:hideMark/>
          </w:tcPr>
          <w:p w:rsidR="00FF45FE" w:rsidRPr="00FF45FE" w:rsidRDefault="00FF45FE" w:rsidP="00FF45FE">
            <w:pPr>
              <w:spacing w:after="0" w:line="240" w:lineRule="auto"/>
              <w:jc w:val="center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6.846</w:t>
            </w: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285.41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285.59</w:t>
            </w:r>
          </w:p>
        </w:tc>
      </w:tr>
      <w:tr w:rsidR="00FF45FE" w:rsidRPr="00FF45FE" w:rsidTr="00FF45FE">
        <w:trPr>
          <w:trHeight w:val="70"/>
        </w:trPr>
        <w:tc>
          <w:tcPr>
            <w:tcW w:w="3240" w:type="dxa"/>
            <w:shd w:val="clear" w:color="auto" w:fill="auto"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realizace opatření SO05b,c</w:t>
            </w:r>
          </w:p>
        </w:tc>
        <w:tc>
          <w:tcPr>
            <w:tcW w:w="1350" w:type="dxa"/>
            <w:vMerge/>
            <w:shd w:val="clear" w:color="auto" w:fill="DBE5F1" w:themeFill="accent1" w:themeFillTint="33"/>
            <w:vAlign w:val="center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284.86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285.28</w:t>
            </w:r>
          </w:p>
        </w:tc>
      </w:tr>
      <w:tr w:rsidR="00FF45FE" w:rsidRPr="00FF45FE" w:rsidTr="00FF45FE">
        <w:trPr>
          <w:trHeight w:val="70"/>
        </w:trPr>
        <w:tc>
          <w:tcPr>
            <w:tcW w:w="3240" w:type="dxa"/>
            <w:shd w:val="clear" w:color="auto" w:fill="auto"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realizace opatření SO05b,c</w:t>
            </w:r>
          </w:p>
        </w:tc>
        <w:tc>
          <w:tcPr>
            <w:tcW w:w="1350" w:type="dxa"/>
            <w:vMerge/>
            <w:shd w:val="clear" w:color="auto" w:fill="DBE5F1" w:themeFill="accent1" w:themeFillTint="33"/>
            <w:vAlign w:val="center"/>
            <w:hideMark/>
          </w:tcPr>
          <w:p w:rsidR="00FF45FE" w:rsidRPr="00FF45FE" w:rsidRDefault="00FF45FE" w:rsidP="00FF45FE">
            <w:pPr>
              <w:spacing w:after="0" w:line="240" w:lineRule="auto"/>
              <w:jc w:val="left"/>
              <w:rPr>
                <w:color w:val="000000"/>
                <w:szCs w:val="22"/>
              </w:rPr>
            </w:pPr>
          </w:p>
        </w:tc>
        <w:tc>
          <w:tcPr>
            <w:tcW w:w="754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284.86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FF45FE" w:rsidRPr="00FF45FE" w:rsidRDefault="00FF45FE" w:rsidP="00FF45FE">
            <w:pPr>
              <w:spacing w:after="0" w:line="240" w:lineRule="auto"/>
              <w:jc w:val="right"/>
              <w:rPr>
                <w:color w:val="000000"/>
                <w:szCs w:val="22"/>
              </w:rPr>
            </w:pPr>
            <w:r w:rsidRPr="00FF45FE">
              <w:rPr>
                <w:color w:val="000000"/>
                <w:szCs w:val="22"/>
              </w:rPr>
              <w:t>285.2</w:t>
            </w:r>
          </w:p>
        </w:tc>
      </w:tr>
    </w:tbl>
    <w:p w:rsidR="00FF45FE" w:rsidRDefault="00FF45FE" w:rsidP="009F3580"/>
    <w:p w:rsidR="00FF45FE" w:rsidRDefault="00FF45FE" w:rsidP="009F3580"/>
    <w:p w:rsidR="00CB745C" w:rsidRPr="00CB745C" w:rsidRDefault="00CB745C" w:rsidP="00CB745C"/>
    <w:sectPr w:rsidR="00CB745C" w:rsidRPr="00CB745C" w:rsidSect="0064574A">
      <w:headerReference w:type="even" r:id="rId17"/>
      <w:footerReference w:type="even" r:id="rId18"/>
      <w:footerReference w:type="default" r:id="rId19"/>
      <w:headerReference w:type="first" r:id="rId20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887A4A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887A4A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887A4A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r w:rsidR="00F76A62">
            <w:fldChar w:fldCharType="begin"/>
          </w:r>
          <w:r w:rsidR="00F76A62">
            <w:instrText xml:space="preserve"> NUMPAGES   \* MERGEFORMAT </w:instrText>
          </w:r>
          <w:r w:rsidR="00F76A62">
            <w:fldChar w:fldCharType="separate"/>
          </w:r>
          <w:r w:rsidR="00B043AC" w:rsidRPr="00B043AC">
            <w:rPr>
              <w:noProof/>
              <w:sz w:val="20"/>
            </w:rPr>
            <w:t>6</w:t>
          </w:r>
          <w:r w:rsidR="00F76A62">
            <w:rPr>
              <w:noProof/>
              <w:sz w:val="20"/>
            </w:rPr>
            <w:fldChar w:fldCharType="end"/>
          </w:r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>Studie odtokových poměrů vč. návrhů možných protipovodňových opatření v povodí Rožanského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 w15:restartNumberingAfterBreak="0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 w15:restartNumberingAfterBreak="0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 w15:restartNumberingAfterBreak="0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BBE"/>
    <w:rsid w:val="0006401C"/>
    <w:rsid w:val="000641F0"/>
    <w:rsid w:val="00065AA0"/>
    <w:rsid w:val="00065D35"/>
    <w:rsid w:val="00066434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67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51EA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076C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4F3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0FF1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28FF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3E34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90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3580"/>
    <w:rsid w:val="009F5047"/>
    <w:rsid w:val="009F5485"/>
    <w:rsid w:val="009F7F91"/>
    <w:rsid w:val="00A00767"/>
    <w:rsid w:val="00A00F85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43AC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B745C"/>
    <w:rsid w:val="00CC0616"/>
    <w:rsid w:val="00CC0FCF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1AFA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6A62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5FE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5:docId w15:val="{A70AF05D-14BA-4544-B22F-686342C5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d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gif"/><Relationship Id="rId1" Type="http://schemas.openxmlformats.org/officeDocument/2006/relationships/image" Target="media/image1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5AEC1-1C07-43CE-B528-4804B965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3286</TotalTime>
  <Pages>6</Pages>
  <Words>339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Vlcek</cp:lastModifiedBy>
  <cp:revision>161</cp:revision>
  <cp:lastPrinted>2018-04-10T09:03:00Z</cp:lastPrinted>
  <dcterms:created xsi:type="dcterms:W3CDTF">2018-02-27T07:00:00Z</dcterms:created>
  <dcterms:modified xsi:type="dcterms:W3CDTF">2018-04-10T10:14:00Z</dcterms:modified>
</cp:coreProperties>
</file>